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2FDD" w:rsidRDefault="00032FDD" w:rsidP="00F142C6">
      <w:pPr>
        <w:shd w:val="clear" w:color="auto" w:fill="FFFFFF"/>
        <w:spacing w:line="390" w:lineRule="atLeast"/>
        <w:jc w:val="center"/>
        <w:rPr>
          <w:rFonts w:eastAsia="Times New Roman"/>
          <w:sz w:val="28"/>
          <w:szCs w:val="28"/>
        </w:rPr>
      </w:pPr>
      <w:proofErr w:type="spellStart"/>
      <w:r w:rsidRPr="00032FDD">
        <w:rPr>
          <w:rFonts w:eastAsia="Times New Roman"/>
          <w:b/>
          <w:bCs/>
          <w:sz w:val="28"/>
          <w:szCs w:val="28"/>
          <w:u w:val="single"/>
        </w:rPr>
        <w:t>Gvaot</w:t>
      </w:r>
      <w:proofErr w:type="spellEnd"/>
      <w:r w:rsidRPr="00032FDD">
        <w:rPr>
          <w:rFonts w:eastAsia="Times New Roman"/>
          <w:b/>
          <w:bCs/>
          <w:sz w:val="28"/>
          <w:szCs w:val="28"/>
          <w:u w:val="single"/>
        </w:rPr>
        <w:t xml:space="preserve"> Merlot 201</w:t>
      </w:r>
      <w:r w:rsidR="00F142C6">
        <w:rPr>
          <w:rFonts w:eastAsia="Times New Roman"/>
          <w:b/>
          <w:bCs/>
          <w:sz w:val="28"/>
          <w:szCs w:val="28"/>
          <w:u w:val="single"/>
        </w:rPr>
        <w:t>6</w:t>
      </w:r>
    </w:p>
    <w:p w:rsidR="00E25234" w:rsidRPr="00032FDD" w:rsidRDefault="00E25234" w:rsidP="00032FDD">
      <w:pPr>
        <w:shd w:val="clear" w:color="auto" w:fill="FFFFFF"/>
        <w:spacing w:line="390" w:lineRule="atLeast"/>
        <w:jc w:val="center"/>
        <w:rPr>
          <w:rFonts w:eastAsia="Times New Roman"/>
          <w:sz w:val="28"/>
          <w:szCs w:val="28"/>
          <w:rtl/>
        </w:rPr>
      </w:pPr>
    </w:p>
    <w:p w:rsidR="00032FDD" w:rsidRPr="00032FDD" w:rsidRDefault="00032FDD" w:rsidP="00032FDD">
      <w:pPr>
        <w:shd w:val="clear" w:color="auto" w:fill="FFFFFF"/>
        <w:spacing w:line="390" w:lineRule="atLeast"/>
        <w:rPr>
          <w:rFonts w:eastAsia="Times New Roman"/>
          <w:sz w:val="24"/>
          <w:szCs w:val="24"/>
        </w:rPr>
      </w:pPr>
      <w:r w:rsidRPr="00032FDD">
        <w:rPr>
          <w:rFonts w:eastAsia="Times New Roman"/>
          <w:b/>
          <w:bCs/>
          <w:sz w:val="24"/>
          <w:szCs w:val="24"/>
        </w:rPr>
        <w:t> </w:t>
      </w:r>
    </w:p>
    <w:p w:rsidR="00142772" w:rsidRDefault="00032FDD" w:rsidP="00F142C6">
      <w:pPr>
        <w:shd w:val="clear" w:color="auto" w:fill="FFFFFF"/>
        <w:spacing w:line="480" w:lineRule="auto"/>
        <w:rPr>
          <w:rFonts w:eastAsia="Times New Roman"/>
          <w:b/>
          <w:bCs/>
          <w:color w:val="222222"/>
          <w:sz w:val="24"/>
          <w:szCs w:val="24"/>
          <w:u w:val="single"/>
        </w:rPr>
      </w:pPr>
      <w:r w:rsidRPr="00032FDD">
        <w:rPr>
          <w:rFonts w:eastAsia="Times New Roman"/>
          <w:b/>
          <w:bCs/>
          <w:color w:val="222222"/>
          <w:sz w:val="24"/>
          <w:szCs w:val="24"/>
          <w:u w:val="single"/>
        </w:rPr>
        <w:t>Varietal content:</w:t>
      </w:r>
      <w:r w:rsidRPr="00032FDD">
        <w:rPr>
          <w:rFonts w:eastAsia="Times New Roman"/>
          <w:color w:val="222222"/>
          <w:sz w:val="24"/>
          <w:szCs w:val="24"/>
        </w:rPr>
        <w:t>  </w:t>
      </w:r>
      <w:r w:rsidR="00F142C6">
        <w:rPr>
          <w:rFonts w:eastAsia="Times New Roman"/>
          <w:color w:val="222222"/>
          <w:sz w:val="24"/>
          <w:szCs w:val="24"/>
        </w:rPr>
        <w:t>90</w:t>
      </w:r>
      <w:r w:rsidR="00142772" w:rsidRPr="00142772">
        <w:rPr>
          <w:rFonts w:eastAsia="Times New Roman"/>
          <w:color w:val="222222"/>
          <w:sz w:val="24"/>
          <w:szCs w:val="24"/>
        </w:rPr>
        <w:t xml:space="preserve">% Merlot. </w:t>
      </w:r>
      <w:r w:rsidR="00F142C6">
        <w:rPr>
          <w:rFonts w:eastAsia="Times New Roman"/>
          <w:color w:val="222222"/>
          <w:sz w:val="24"/>
          <w:szCs w:val="24"/>
        </w:rPr>
        <w:t>10</w:t>
      </w:r>
      <w:r w:rsidR="00142772" w:rsidRPr="00142772">
        <w:rPr>
          <w:rFonts w:eastAsia="Times New Roman"/>
          <w:color w:val="222222"/>
          <w:sz w:val="24"/>
          <w:szCs w:val="24"/>
        </w:rPr>
        <w:t xml:space="preserve">% </w:t>
      </w:r>
      <w:r w:rsidR="00F142C6">
        <w:rPr>
          <w:rFonts w:eastAsia="Times New Roman"/>
          <w:color w:val="222222"/>
          <w:sz w:val="24"/>
          <w:szCs w:val="24"/>
        </w:rPr>
        <w:t>Cabernet Sauvignon</w:t>
      </w:r>
    </w:p>
    <w:p w:rsidR="00032FDD" w:rsidRDefault="00032FDD" w:rsidP="00142772">
      <w:pPr>
        <w:shd w:val="clear" w:color="auto" w:fill="FFFFFF"/>
        <w:spacing w:line="480" w:lineRule="auto"/>
        <w:rPr>
          <w:rFonts w:eastAsia="Times New Roman"/>
          <w:color w:val="222222"/>
          <w:sz w:val="24"/>
          <w:szCs w:val="24"/>
        </w:rPr>
      </w:pPr>
      <w:r w:rsidRPr="00032FDD">
        <w:rPr>
          <w:rFonts w:eastAsia="Times New Roman"/>
          <w:b/>
          <w:bCs/>
          <w:color w:val="222222"/>
          <w:sz w:val="24"/>
          <w:szCs w:val="24"/>
          <w:u w:val="single"/>
        </w:rPr>
        <w:t>Vineyards:</w:t>
      </w:r>
    </w:p>
    <w:p w:rsidR="00FD2AB5" w:rsidRPr="00032FDD" w:rsidRDefault="00FD2AB5" w:rsidP="00FD2AB5">
      <w:pPr>
        <w:shd w:val="clear" w:color="auto" w:fill="FFFFFF"/>
        <w:spacing w:line="48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                 </w:t>
      </w:r>
      <w:proofErr w:type="spellStart"/>
      <w:r w:rsidRPr="00FD2AB5">
        <w:rPr>
          <w:rFonts w:eastAsia="Times New Roman"/>
          <w:color w:val="222222"/>
          <w:sz w:val="24"/>
          <w:szCs w:val="24"/>
        </w:rPr>
        <w:t>Giora</w:t>
      </w:r>
      <w:proofErr w:type="spellEnd"/>
      <w:r w:rsidRPr="00FD2AB5">
        <w:rPr>
          <w:rFonts w:eastAsia="Times New Roman"/>
          <w:color w:val="222222"/>
          <w:sz w:val="24"/>
          <w:szCs w:val="24"/>
        </w:rPr>
        <w:t xml:space="preserve"> Vineyard, altitude 700 m. – Merlot</w:t>
      </w:r>
    </w:p>
    <w:p w:rsidR="00F142C6" w:rsidRDefault="00032FDD" w:rsidP="00F142C6">
      <w:pPr>
        <w:shd w:val="clear" w:color="auto" w:fill="FFFFFF"/>
        <w:spacing w:line="480" w:lineRule="auto"/>
        <w:rPr>
          <w:rFonts w:eastAsia="Times New Roman"/>
          <w:color w:val="222222"/>
          <w:sz w:val="24"/>
          <w:szCs w:val="24"/>
        </w:rPr>
      </w:pPr>
      <w:bookmarkStart w:id="0" w:name="_GoBack"/>
      <w:bookmarkEnd w:id="0"/>
      <w:r w:rsidRPr="00032FDD">
        <w:rPr>
          <w:rFonts w:eastAsia="Times New Roman"/>
          <w:color w:val="222222"/>
          <w:sz w:val="24"/>
          <w:szCs w:val="24"/>
        </w:rPr>
        <w:t>         </w:t>
      </w:r>
      <w:r w:rsidR="00F142C6">
        <w:rPr>
          <w:rFonts w:eastAsia="Times New Roman"/>
          <w:color w:val="222222"/>
          <w:sz w:val="24"/>
          <w:szCs w:val="24"/>
        </w:rPr>
        <w:t xml:space="preserve">        </w:t>
      </w:r>
      <w:proofErr w:type="spellStart"/>
      <w:r w:rsidR="00F142C6" w:rsidRPr="00F142C6">
        <w:rPr>
          <w:rFonts w:eastAsia="Times New Roman"/>
          <w:color w:val="222222"/>
          <w:sz w:val="24"/>
          <w:szCs w:val="24"/>
        </w:rPr>
        <w:t>Giora</w:t>
      </w:r>
      <w:proofErr w:type="spellEnd"/>
      <w:r w:rsidR="00F142C6" w:rsidRPr="00F142C6">
        <w:rPr>
          <w:rFonts w:eastAsia="Times New Roman"/>
          <w:color w:val="222222"/>
          <w:sz w:val="24"/>
          <w:szCs w:val="24"/>
        </w:rPr>
        <w:t xml:space="preserve"> Vineyard, altitude 700 m. – Cabernet Sauvignon</w:t>
      </w:r>
    </w:p>
    <w:p w:rsidR="00032FDD" w:rsidRPr="00032FDD" w:rsidRDefault="00525CB4" w:rsidP="00525CB4">
      <w:pPr>
        <w:shd w:val="clear" w:color="auto" w:fill="FFFFFF"/>
        <w:spacing w:line="48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  <w:u w:val="single"/>
        </w:rPr>
        <w:t xml:space="preserve">Barrel </w:t>
      </w:r>
      <w:r w:rsidR="00032FDD" w:rsidRPr="00032FDD">
        <w:rPr>
          <w:rFonts w:eastAsia="Times New Roman"/>
          <w:b/>
          <w:bCs/>
          <w:color w:val="222222"/>
          <w:sz w:val="24"/>
          <w:szCs w:val="24"/>
          <w:u w:val="single"/>
        </w:rPr>
        <w:t>Aging:</w:t>
      </w:r>
      <w:r>
        <w:rPr>
          <w:rFonts w:eastAsia="Times New Roman"/>
          <w:color w:val="222222"/>
          <w:sz w:val="24"/>
          <w:szCs w:val="24"/>
        </w:rPr>
        <w:t> </w:t>
      </w:r>
      <w:r>
        <w:rPr>
          <w:rStyle w:val="hps"/>
          <w:lang w:val="en"/>
        </w:rPr>
        <w:t>12</w:t>
      </w:r>
      <w:r>
        <w:rPr>
          <w:lang w:val="en"/>
        </w:rPr>
        <w:t xml:space="preserve"> </w:t>
      </w:r>
      <w:r>
        <w:rPr>
          <w:rStyle w:val="hps"/>
          <w:lang w:val="en"/>
        </w:rPr>
        <w:t>months</w:t>
      </w:r>
      <w:r>
        <w:rPr>
          <w:lang w:val="en"/>
        </w:rPr>
        <w:t xml:space="preserve"> </w:t>
      </w:r>
      <w:r>
        <w:rPr>
          <w:rStyle w:val="hps"/>
          <w:lang w:val="en"/>
        </w:rPr>
        <w:t>in French oak barrels</w:t>
      </w:r>
    </w:p>
    <w:p w:rsidR="00032FDD" w:rsidRPr="00032FDD" w:rsidRDefault="00032FDD" w:rsidP="00F142C6">
      <w:pPr>
        <w:spacing w:line="480" w:lineRule="auto"/>
        <w:rPr>
          <w:rFonts w:eastAsia="Times New Roman"/>
          <w:color w:val="222222"/>
          <w:sz w:val="24"/>
          <w:szCs w:val="24"/>
        </w:rPr>
      </w:pPr>
      <w:r w:rsidRPr="00032FDD">
        <w:rPr>
          <w:rFonts w:eastAsia="Times New Roman"/>
          <w:b/>
          <w:bCs/>
          <w:color w:val="222222"/>
          <w:sz w:val="24"/>
          <w:szCs w:val="24"/>
          <w:u w:val="single"/>
        </w:rPr>
        <w:t>Character</w:t>
      </w:r>
      <w:r w:rsidRPr="00032FDD">
        <w:rPr>
          <w:rFonts w:eastAsia="Times New Roman"/>
          <w:color w:val="222222"/>
          <w:sz w:val="24"/>
          <w:szCs w:val="24"/>
        </w:rPr>
        <w:t xml:space="preserve">: </w:t>
      </w:r>
      <w:r w:rsidR="00F142C6" w:rsidRPr="00F142C6">
        <w:rPr>
          <w:rFonts w:eastAsia="Times New Roman"/>
          <w:color w:val="222222"/>
          <w:sz w:val="24"/>
          <w:szCs w:val="24"/>
        </w:rPr>
        <w:t>Deep, intense, and rich</w:t>
      </w:r>
    </w:p>
    <w:p w:rsidR="00032FDD" w:rsidRDefault="00032FDD" w:rsidP="00F142C6">
      <w:pPr>
        <w:shd w:val="clear" w:color="auto" w:fill="FFFFFF"/>
        <w:spacing w:line="480" w:lineRule="auto"/>
        <w:rPr>
          <w:rFonts w:eastAsia="Times New Roman"/>
          <w:color w:val="222222"/>
          <w:sz w:val="24"/>
          <w:szCs w:val="24"/>
        </w:rPr>
      </w:pPr>
      <w:r w:rsidRPr="00032FDD">
        <w:rPr>
          <w:rFonts w:eastAsia="Times New Roman"/>
          <w:b/>
          <w:bCs/>
          <w:color w:val="222222"/>
          <w:sz w:val="24"/>
          <w:szCs w:val="24"/>
          <w:u w:val="single"/>
        </w:rPr>
        <w:t>Number of bottles:</w:t>
      </w:r>
      <w:r w:rsidRPr="00032FDD">
        <w:rPr>
          <w:rFonts w:eastAsia="Times New Roman"/>
          <w:color w:val="222222"/>
          <w:sz w:val="24"/>
          <w:szCs w:val="24"/>
        </w:rPr>
        <w:t>  </w:t>
      </w:r>
      <w:r w:rsidR="00F142C6">
        <w:rPr>
          <w:rFonts w:eastAsia="Times New Roman"/>
          <w:color w:val="222222"/>
          <w:sz w:val="24"/>
          <w:szCs w:val="24"/>
        </w:rPr>
        <w:t>3000</w:t>
      </w:r>
      <w:r w:rsidRPr="00032FDD">
        <w:rPr>
          <w:rFonts w:eastAsia="Times New Roman"/>
          <w:color w:val="222222"/>
          <w:sz w:val="24"/>
          <w:szCs w:val="24"/>
        </w:rPr>
        <w:t xml:space="preserve"> bottles</w:t>
      </w:r>
    </w:p>
    <w:p w:rsidR="00525CB4" w:rsidRPr="00525CB4" w:rsidRDefault="00525CB4" w:rsidP="00525CB4">
      <w:pPr>
        <w:spacing w:line="480" w:lineRule="auto"/>
        <w:rPr>
          <w:rFonts w:eastAsia="Times New Roman"/>
          <w:color w:val="222222"/>
          <w:sz w:val="24"/>
          <w:szCs w:val="24"/>
        </w:rPr>
      </w:pPr>
      <w:r w:rsidRPr="00525CB4">
        <w:rPr>
          <w:rFonts w:eastAsia="Times New Roman"/>
          <w:b/>
          <w:bCs/>
          <w:color w:val="222222"/>
          <w:sz w:val="24"/>
          <w:szCs w:val="24"/>
          <w:u w:val="single"/>
        </w:rPr>
        <w:t>Aging Potential</w:t>
      </w:r>
      <w:r w:rsidRPr="00525CB4">
        <w:rPr>
          <w:b/>
          <w:bCs/>
          <w:lang w:val="en"/>
        </w:rPr>
        <w:t>:</w:t>
      </w:r>
      <w:r w:rsidRPr="00525CB4">
        <w:rPr>
          <w:lang w:val="en"/>
        </w:rPr>
        <w:t xml:space="preserve"> </w:t>
      </w:r>
      <w:r w:rsidRPr="00525CB4">
        <w:rPr>
          <w:rFonts w:eastAsia="Times New Roman"/>
          <w:color w:val="222222"/>
          <w:sz w:val="24"/>
          <w:szCs w:val="24"/>
        </w:rPr>
        <w:t>The wine reaches its peak about two years after harvesting and will continue to develop for 6-8 years under suitable conditions.</w:t>
      </w:r>
      <w:r w:rsidRPr="00525CB4">
        <w:rPr>
          <w:rFonts w:eastAsia="Times New Roman"/>
          <w:color w:val="222222"/>
          <w:sz w:val="24"/>
          <w:szCs w:val="24"/>
        </w:rPr>
        <w:br/>
      </w:r>
      <w:r w:rsidRPr="00525CB4">
        <w:rPr>
          <w:rFonts w:eastAsia="Times New Roman"/>
          <w:b/>
          <w:bCs/>
          <w:color w:val="222222"/>
          <w:sz w:val="24"/>
          <w:szCs w:val="24"/>
          <w:u w:val="single"/>
        </w:rPr>
        <w:t>Meal Combinations</w:t>
      </w:r>
      <w:r w:rsidRPr="00525CB4">
        <w:rPr>
          <w:b/>
          <w:bCs/>
          <w:lang w:val="en"/>
        </w:rPr>
        <w:t>:</w:t>
      </w:r>
      <w:r w:rsidRPr="00525CB4">
        <w:rPr>
          <w:lang w:val="en"/>
        </w:rPr>
        <w:t xml:space="preserve"> </w:t>
      </w:r>
      <w:r w:rsidRPr="00525CB4">
        <w:rPr>
          <w:rFonts w:eastAsia="Times New Roman"/>
          <w:color w:val="222222"/>
          <w:sz w:val="24"/>
          <w:szCs w:val="24"/>
        </w:rPr>
        <w:t>Elegantly accompanies high-fat cuts of beef, such as entrecote, as well as eggplant or mushroom dishes, and hard or smoked cheeses.</w:t>
      </w:r>
    </w:p>
    <w:p w:rsidR="00525CB4" w:rsidRPr="00525CB4" w:rsidRDefault="00525CB4" w:rsidP="00525CB4">
      <w:pPr>
        <w:spacing w:line="480" w:lineRule="auto"/>
        <w:rPr>
          <w:rFonts w:eastAsia="Times New Roman"/>
          <w:color w:val="222222"/>
          <w:sz w:val="24"/>
          <w:szCs w:val="24"/>
          <w:rtl/>
        </w:rPr>
      </w:pPr>
      <w:r w:rsidRPr="00525CB4">
        <w:rPr>
          <w:rFonts w:eastAsia="Times New Roman"/>
          <w:b/>
          <w:bCs/>
          <w:color w:val="222222"/>
          <w:sz w:val="24"/>
          <w:szCs w:val="24"/>
          <w:u w:val="single"/>
        </w:rPr>
        <w:t>Serving Recommendation</w:t>
      </w:r>
      <w:r w:rsidRPr="00525CB4">
        <w:rPr>
          <w:b/>
          <w:bCs/>
          <w:lang w:val="en"/>
        </w:rPr>
        <w:t>:</w:t>
      </w:r>
      <w:r w:rsidRPr="00525CB4">
        <w:rPr>
          <w:lang w:val="en"/>
        </w:rPr>
        <w:t xml:space="preserve"> </w:t>
      </w:r>
      <w:r w:rsidRPr="00525CB4">
        <w:rPr>
          <w:rFonts w:eastAsia="Times New Roman"/>
          <w:color w:val="222222"/>
          <w:sz w:val="24"/>
          <w:szCs w:val="24"/>
        </w:rPr>
        <w:t>Open about an hour before serving, at a temperature of 16-</w:t>
      </w:r>
      <w:smartTag w:uri="urn:schemas-microsoft-com:office:smarttags" w:element="metricconverter">
        <w:smartTagPr>
          <w:attr w:name="ProductID" w:val="18°C"/>
        </w:smartTagPr>
        <w:r w:rsidRPr="00525CB4">
          <w:rPr>
            <w:rFonts w:eastAsia="Times New Roman"/>
            <w:color w:val="222222"/>
            <w:sz w:val="24"/>
            <w:szCs w:val="24"/>
          </w:rPr>
          <w:t>18°C</w:t>
        </w:r>
      </w:smartTag>
    </w:p>
    <w:p w:rsidR="00032FDD" w:rsidRDefault="00032FDD" w:rsidP="00570F17">
      <w:pPr>
        <w:shd w:val="clear" w:color="auto" w:fill="FFFFFF"/>
        <w:spacing w:line="480" w:lineRule="auto"/>
        <w:rPr>
          <w:rFonts w:eastAsia="Times New Roman"/>
          <w:color w:val="222222"/>
          <w:sz w:val="24"/>
          <w:szCs w:val="24"/>
        </w:rPr>
      </w:pPr>
      <w:r w:rsidRPr="00032FDD">
        <w:rPr>
          <w:rFonts w:eastAsia="Times New Roman"/>
          <w:b/>
          <w:bCs/>
          <w:color w:val="222222"/>
          <w:sz w:val="24"/>
          <w:szCs w:val="24"/>
          <w:u w:val="single"/>
        </w:rPr>
        <w:t>Alcohol:</w:t>
      </w:r>
      <w:r w:rsidR="00525CB4">
        <w:rPr>
          <w:rFonts w:eastAsia="Times New Roman"/>
          <w:color w:val="222222"/>
          <w:sz w:val="24"/>
          <w:szCs w:val="24"/>
        </w:rPr>
        <w:t> </w:t>
      </w:r>
      <w:r w:rsidRPr="00032FDD">
        <w:rPr>
          <w:rFonts w:eastAsia="Times New Roman"/>
          <w:color w:val="222222"/>
          <w:sz w:val="24"/>
          <w:szCs w:val="24"/>
        </w:rPr>
        <w:t>14</w:t>
      </w:r>
      <w:r w:rsidR="00E25234">
        <w:rPr>
          <w:rFonts w:eastAsia="Times New Roman"/>
          <w:color w:val="222222"/>
          <w:sz w:val="24"/>
          <w:szCs w:val="24"/>
        </w:rPr>
        <w:t>.</w:t>
      </w:r>
      <w:r w:rsidR="00570F17">
        <w:rPr>
          <w:rFonts w:eastAsia="Times New Roman"/>
          <w:color w:val="222222"/>
          <w:sz w:val="24"/>
          <w:szCs w:val="24"/>
        </w:rPr>
        <w:t>47</w:t>
      </w:r>
      <w:r w:rsidRPr="00032FDD">
        <w:rPr>
          <w:rFonts w:eastAsia="Times New Roman"/>
          <w:color w:val="222222"/>
          <w:sz w:val="24"/>
          <w:szCs w:val="24"/>
        </w:rPr>
        <w:t>%</w:t>
      </w:r>
    </w:p>
    <w:p w:rsidR="00E25234" w:rsidRPr="00EB5AAD" w:rsidRDefault="00E25234" w:rsidP="00570F17">
      <w:pPr>
        <w:shd w:val="clear" w:color="auto" w:fill="FFFFFF"/>
        <w:spacing w:line="480" w:lineRule="auto"/>
        <w:rPr>
          <w:color w:val="222222"/>
        </w:rPr>
      </w:pPr>
      <w:proofErr w:type="gramStart"/>
      <w:r w:rsidRPr="00E25234">
        <w:rPr>
          <w:rFonts w:eastAsia="Times New Roman"/>
          <w:b/>
          <w:bCs/>
          <w:color w:val="222222"/>
          <w:sz w:val="24"/>
          <w:szCs w:val="24"/>
          <w:u w:val="single"/>
        </w:rPr>
        <w:t>pH</w:t>
      </w:r>
      <w:proofErr w:type="gramEnd"/>
      <w:r w:rsidRPr="00EB5AAD">
        <w:rPr>
          <w:b/>
          <w:bCs/>
          <w:color w:val="222222"/>
          <w:u w:val="single"/>
        </w:rPr>
        <w:t>:</w:t>
      </w:r>
      <w:r w:rsidRPr="00EB5AAD">
        <w:rPr>
          <w:color w:val="222222"/>
        </w:rPr>
        <w:t>  3.</w:t>
      </w:r>
      <w:r w:rsidR="00570F17">
        <w:rPr>
          <w:color w:val="222222"/>
        </w:rPr>
        <w:t>65</w:t>
      </w:r>
    </w:p>
    <w:p w:rsidR="00E25234" w:rsidRPr="00EB5AAD" w:rsidRDefault="00E25234" w:rsidP="00142772">
      <w:pPr>
        <w:shd w:val="clear" w:color="auto" w:fill="FFFFFF"/>
        <w:spacing w:line="480" w:lineRule="auto"/>
        <w:rPr>
          <w:color w:val="222222"/>
        </w:rPr>
      </w:pPr>
      <w:r w:rsidRPr="00E25234">
        <w:rPr>
          <w:rFonts w:eastAsia="Times New Roman"/>
          <w:b/>
          <w:bCs/>
          <w:color w:val="222222"/>
          <w:sz w:val="24"/>
          <w:szCs w:val="24"/>
          <w:u w:val="single"/>
        </w:rPr>
        <w:t>Residual sugar:</w:t>
      </w:r>
      <w:r w:rsidRPr="00EB5AAD">
        <w:rPr>
          <w:color w:val="222222"/>
        </w:rPr>
        <w:t>  </w:t>
      </w:r>
      <w:r w:rsidR="00142772">
        <w:rPr>
          <w:color w:val="222222"/>
        </w:rPr>
        <w:t>2.1</w:t>
      </w:r>
      <w:r w:rsidRPr="00EB5AAD">
        <w:rPr>
          <w:color w:val="222222"/>
        </w:rPr>
        <w:t xml:space="preserve"> grams per liter</w:t>
      </w:r>
    </w:p>
    <w:p w:rsidR="00032FDD" w:rsidRPr="00032FDD" w:rsidRDefault="00032FDD" w:rsidP="00525CB4">
      <w:pPr>
        <w:shd w:val="clear" w:color="auto" w:fill="FFFFFF"/>
        <w:bidi/>
        <w:spacing w:line="480" w:lineRule="auto"/>
        <w:rPr>
          <w:rFonts w:eastAsia="Times New Roman"/>
          <w:color w:val="222222"/>
          <w:sz w:val="24"/>
          <w:szCs w:val="24"/>
          <w:rtl/>
        </w:rPr>
      </w:pPr>
    </w:p>
    <w:p w:rsidR="00032FDD" w:rsidRPr="00032FDD" w:rsidRDefault="00032FDD" w:rsidP="00E94A33">
      <w:pPr>
        <w:shd w:val="clear" w:color="auto" w:fill="FFFFFF"/>
        <w:bidi/>
        <w:spacing w:line="480" w:lineRule="auto"/>
        <w:rPr>
          <w:rFonts w:eastAsia="Times New Roman"/>
          <w:color w:val="222222"/>
          <w:sz w:val="24"/>
          <w:szCs w:val="24"/>
          <w:rtl/>
        </w:rPr>
      </w:pPr>
      <w:r w:rsidRPr="00032FDD">
        <w:rPr>
          <w:rFonts w:eastAsia="Times New Roman"/>
          <w:color w:val="222222"/>
          <w:sz w:val="24"/>
          <w:szCs w:val="24"/>
          <w:rtl/>
        </w:rPr>
        <w:t> </w:t>
      </w:r>
    </w:p>
    <w:sectPr w:rsidR="00032FDD" w:rsidRPr="00032FDD">
      <w:headerReference w:type="default" r:id="rId7"/>
      <w:footerReference w:type="default" r:id="rId8"/>
      <w:pgSz w:w="11906" w:h="16838"/>
      <w:pgMar w:top="1134" w:right="1361" w:bottom="1134" w:left="136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A9" w:rsidRDefault="002F73A9">
      <w:pPr>
        <w:spacing w:line="240" w:lineRule="auto"/>
      </w:pPr>
      <w:r>
        <w:separator/>
      </w:r>
    </w:p>
  </w:endnote>
  <w:endnote w:type="continuationSeparator" w:id="0">
    <w:p w:rsidR="002F73A9" w:rsidRDefault="002F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FE" w:rsidRDefault="00D20DFE">
    <w:pPr>
      <w:bidi/>
    </w:pPr>
  </w:p>
  <w:p w:rsidR="00D20DFE" w:rsidRDefault="00D20DFE">
    <w:pPr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A9" w:rsidRDefault="002F73A9">
      <w:pPr>
        <w:spacing w:line="240" w:lineRule="auto"/>
      </w:pPr>
      <w:r>
        <w:separator/>
      </w:r>
    </w:p>
  </w:footnote>
  <w:footnote w:type="continuationSeparator" w:id="0">
    <w:p w:rsidR="002F73A9" w:rsidRDefault="002F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FE" w:rsidRDefault="00D20DFE">
    <w:pPr>
      <w:bidi/>
      <w:ind w:hanging="375"/>
    </w:pPr>
  </w:p>
  <w:p w:rsidR="00D20DFE" w:rsidRDefault="00D20DFE">
    <w:pPr>
      <w:bidi/>
      <w:ind w:hanging="375"/>
    </w:pPr>
  </w:p>
  <w:p w:rsidR="00D20DFE" w:rsidRDefault="000E3C30">
    <w:pPr>
      <w:bidi/>
      <w:ind w:hanging="375"/>
    </w:pPr>
    <w:r>
      <w:rPr>
        <w:noProof/>
      </w:rPr>
      <w:drawing>
        <wp:inline distT="114300" distB="114300" distL="114300" distR="114300" wp14:anchorId="3D1D65F9" wp14:editId="2BDDE38A">
          <wp:extent cx="6258261" cy="852488"/>
          <wp:effectExtent l="0" t="0" r="0" b="0"/>
          <wp:docPr id="1" name="image01.png" descr="gvaot_a4__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gvaot_a4__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8261" cy="852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0DFE" w:rsidRDefault="00D20DFE">
    <w:pPr>
      <w:bidi/>
    </w:pPr>
  </w:p>
  <w:p w:rsidR="00D20DFE" w:rsidRDefault="00D20DFE">
    <w:pPr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0DFE"/>
    <w:rsid w:val="00032FDD"/>
    <w:rsid w:val="000B35F8"/>
    <w:rsid w:val="000E3C30"/>
    <w:rsid w:val="00142772"/>
    <w:rsid w:val="0015778F"/>
    <w:rsid w:val="001E66B1"/>
    <w:rsid w:val="002F73A9"/>
    <w:rsid w:val="00525CB4"/>
    <w:rsid w:val="00570F17"/>
    <w:rsid w:val="007515CB"/>
    <w:rsid w:val="008E78A7"/>
    <w:rsid w:val="00A10947"/>
    <w:rsid w:val="00BC69F2"/>
    <w:rsid w:val="00C92251"/>
    <w:rsid w:val="00D20DFE"/>
    <w:rsid w:val="00E25234"/>
    <w:rsid w:val="00E94A33"/>
    <w:rsid w:val="00F142C6"/>
    <w:rsid w:val="00FC22A2"/>
    <w:rsid w:val="00FD2AB5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E66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E66B1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525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E66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E66B1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52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mada</cp:lastModifiedBy>
  <cp:revision>8</cp:revision>
  <dcterms:created xsi:type="dcterms:W3CDTF">2016-10-04T21:07:00Z</dcterms:created>
  <dcterms:modified xsi:type="dcterms:W3CDTF">2018-06-06T14:10:00Z</dcterms:modified>
</cp:coreProperties>
</file>